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791" w:rsidRDefault="00396791" w:rsidP="00396791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bookmarkStart w:id="0" w:name="_GoBack"/>
      <w:bookmarkEnd w:id="0"/>
      <w:r>
        <w:rPr>
          <w:rFonts w:ascii="Tahoma" w:hAnsi="Tahoma" w:cs="Tahoma"/>
          <w:color w:val="000080"/>
          <w:sz w:val="28"/>
          <w:szCs w:val="28"/>
          <w14:ligatures w14:val="none"/>
        </w:rPr>
        <w:t>MCP Phase I Investigations</w:t>
      </w:r>
      <w:r>
        <w:rPr>
          <w:sz w:val="24"/>
          <w:szCs w:val="24"/>
          <w14:ligatures w14:val="none"/>
        </w:rPr>
        <w:t xml:space="preserve"> </w:t>
      </w:r>
    </w:p>
    <w:p w:rsidR="00396791" w:rsidRDefault="00396791" w:rsidP="00396791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>
        <w:rPr>
          <w:rFonts w:ascii="Tahoma" w:hAnsi="Tahoma" w:cs="Tahoma"/>
          <w:color w:val="000080"/>
          <w:sz w:val="28"/>
          <w:szCs w:val="28"/>
          <w14:ligatures w14:val="none"/>
        </w:rPr>
        <w:t>Maynard, Massachusetts</w:t>
      </w:r>
    </w:p>
    <w:p w:rsidR="00396791" w:rsidRDefault="00396791" w:rsidP="00396791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396791">
      <w:pPr>
        <w:rPr>
          <w:rFonts w:ascii="Arial" w:hAnsi="Arial" w:cs="Arial"/>
          <w:sz w:val="24"/>
          <w:szCs w:val="24"/>
        </w:rPr>
      </w:pP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Ambient was contracted by a private commercial property owner to evaluate the results of a Down gradient Property Status (DPS) Opinion for an abutting property.   The site has operated as an automotive auto body and service facility for 20 years and also as a former gas station.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36C83173">
            <wp:extent cx="238125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Ambient conducted subsurface investigations at the site in 2002, which included the advancement of soil borings and installation of groundwater monitoring wells.  Ambient also supervised the removal of two (6,000-gallon) and one (10,000-gallon) gasoline underground storage tanks (USTs).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 xml:space="preserve">Ambient prepared a Phase I Initial Site Assessment and Tier Classification Report and </w:t>
      </w:r>
      <w:r>
        <w:rPr>
          <w:rFonts w:ascii="Arial" w:hAnsi="Arial" w:cs="Arial"/>
          <w:sz w:val="24"/>
          <w:szCs w:val="24"/>
        </w:rPr>
        <w:t>a Phase II Scope of Work</w:t>
      </w:r>
      <w:r w:rsidRPr="00396791">
        <w:rPr>
          <w:rFonts w:ascii="Arial" w:hAnsi="Arial" w:cs="Arial"/>
          <w:sz w:val="24"/>
          <w:szCs w:val="24"/>
        </w:rPr>
        <w:t>.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488B8466">
            <wp:extent cx="2599690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Default="00396791" w:rsidP="00396791">
      <w:pPr>
        <w:rPr>
          <w:rFonts w:ascii="Arial" w:hAnsi="Arial" w:cs="Arial"/>
          <w:sz w:val="24"/>
          <w:szCs w:val="24"/>
        </w:rPr>
      </w:pP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 xml:space="preserve">Additional soil and groundwater subsurface activities </w:t>
      </w:r>
      <w:r>
        <w:rPr>
          <w:rFonts w:ascii="Arial" w:hAnsi="Arial" w:cs="Arial"/>
          <w:sz w:val="24"/>
          <w:szCs w:val="24"/>
        </w:rPr>
        <w:t xml:space="preserve">were </w:t>
      </w:r>
      <w:r w:rsidRPr="00396791">
        <w:rPr>
          <w:rFonts w:ascii="Arial" w:hAnsi="Arial" w:cs="Arial"/>
          <w:sz w:val="24"/>
          <w:szCs w:val="24"/>
        </w:rPr>
        <w:t>proposed for</w:t>
      </w:r>
      <w:r>
        <w:rPr>
          <w:rFonts w:ascii="Arial" w:hAnsi="Arial" w:cs="Arial"/>
          <w:sz w:val="24"/>
          <w:szCs w:val="24"/>
        </w:rPr>
        <w:t>.</w:t>
      </w:r>
      <w:r w:rsidRPr="00396791">
        <w:rPr>
          <w:rFonts w:ascii="Arial" w:hAnsi="Arial" w:cs="Arial"/>
          <w:sz w:val="24"/>
          <w:szCs w:val="24"/>
        </w:rPr>
        <w:t xml:space="preserve"> These investigations include off-Site investigations, to assess the extent of petroleum hydrocarbon impact.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Based upon the results of Phase II investigations, Ambient will determine if additional remediation is required to achieve a Permanent Solution under the Massachusetts Contingency Plan (MCP).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 w:rsidRPr="00396791">
        <w:rPr>
          <w:rFonts w:ascii="Arial" w:hAnsi="Arial" w:cs="Arial"/>
          <w:sz w:val="24"/>
          <w:szCs w:val="24"/>
        </w:rPr>
        <w:t> </w:t>
      </w:r>
    </w:p>
    <w:p w:rsidR="00396791" w:rsidRPr="00396791" w:rsidRDefault="00396791" w:rsidP="00396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49971916">
            <wp:extent cx="2742565" cy="200977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6791" w:rsidRPr="00396791" w:rsidSect="00107844">
      <w:headerReference w:type="default" r:id="rId10"/>
      <w:pgSz w:w="12240" w:h="15840"/>
      <w:pgMar w:top="810" w:right="1440" w:bottom="360" w:left="117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E4F" w:rsidRDefault="00760E4F" w:rsidP="00747474">
      <w:r>
        <w:separator/>
      </w:r>
    </w:p>
  </w:endnote>
  <w:endnote w:type="continuationSeparator" w:id="0">
    <w:p w:rsidR="00760E4F" w:rsidRDefault="00760E4F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E4F" w:rsidRDefault="00760E4F" w:rsidP="00747474">
      <w:r>
        <w:separator/>
      </w:r>
    </w:p>
  </w:footnote>
  <w:footnote w:type="continuationSeparator" w:id="0">
    <w:p w:rsidR="00760E4F" w:rsidRDefault="00760E4F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E08" w:rsidRDefault="00747474" w:rsidP="002F2E08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62DDAB77" wp14:editId="6D07F0C2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="00E30D53">
      <w:rPr>
        <w:rFonts w:ascii="QuickType" w:hAnsi="QuickType" w:cs="Arial"/>
        <w:b/>
        <w:i/>
        <w:sz w:val="44"/>
        <w:szCs w:val="44"/>
      </w:rPr>
      <w:t>HAZARDOUS WASTE</w:t>
    </w:r>
    <w:r>
      <w:t xml:space="preserve">     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B343E"/>
    <w:rsid w:val="002F2E08"/>
    <w:rsid w:val="00396791"/>
    <w:rsid w:val="003D1F7A"/>
    <w:rsid w:val="005958A8"/>
    <w:rsid w:val="005A40E0"/>
    <w:rsid w:val="00747474"/>
    <w:rsid w:val="00760E4F"/>
    <w:rsid w:val="00A9279F"/>
    <w:rsid w:val="00AA50BD"/>
    <w:rsid w:val="00D6204C"/>
    <w:rsid w:val="00D6522F"/>
    <w:rsid w:val="00DC750E"/>
    <w:rsid w:val="00E30D53"/>
    <w:rsid w:val="00E7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79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79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2014-03-23T21:50:00Z</dcterms:created>
  <dcterms:modified xsi:type="dcterms:W3CDTF">2014-03-23T21:50:00Z</dcterms:modified>
</cp:coreProperties>
</file>