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37" w:rsidRDefault="0021213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300EE0" w:rsidRPr="00300EE0" w:rsidRDefault="00300EE0" w:rsidP="00300EE0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 w:rsidRPr="00300EE0">
        <w:rPr>
          <w:rFonts w:ascii="Tahoma" w:hAnsi="Tahoma" w:cs="Tahoma"/>
          <w:color w:val="000080"/>
          <w:sz w:val="28"/>
          <w:szCs w:val="28"/>
          <w14:ligatures w14:val="none"/>
        </w:rPr>
        <w:t>ASTM Phase I Environmental Site Assessment</w:t>
      </w:r>
    </w:p>
    <w:p w:rsidR="00300EE0" w:rsidRPr="00300EE0" w:rsidRDefault="00300EE0" w:rsidP="00300EE0">
      <w:pPr>
        <w:rPr>
          <w:rFonts w:ascii="Tahoma" w:hAnsi="Tahoma" w:cs="Tahoma"/>
          <w:color w:val="000080"/>
          <w:sz w:val="28"/>
          <w:szCs w:val="28"/>
          <w14:ligatures w14:val="none"/>
        </w:rPr>
      </w:pPr>
      <w:r w:rsidRPr="00300EE0">
        <w:rPr>
          <w:rFonts w:ascii="Tahoma" w:hAnsi="Tahoma" w:cs="Tahoma"/>
          <w:color w:val="000080"/>
          <w:sz w:val="28"/>
          <w:szCs w:val="28"/>
          <w14:ligatures w14:val="none"/>
        </w:rPr>
        <w:t>Lawrence, Massachusetts</w:t>
      </w:r>
    </w:p>
    <w:p w:rsidR="00300EE0" w:rsidRDefault="00300EE0" w:rsidP="00300EE0">
      <w:pPr>
        <w:widowControl w:val="0"/>
        <w:rPr>
          <w14:ligatures w14:val="none"/>
        </w:rPr>
      </w:pPr>
    </w:p>
    <w:p w:rsidR="00300EE0" w:rsidRDefault="00300EE0" w:rsidP="00300EE0">
      <w:pPr>
        <w:widowControl w:val="0"/>
        <w:rPr>
          <w14:ligatures w14:val="none"/>
        </w:rPr>
      </w:pPr>
    </w:p>
    <w:p w:rsidR="00300EE0" w:rsidRDefault="00300EE0" w:rsidP="00300EE0">
      <w:pPr>
        <w:widowControl w:val="0"/>
        <w:rPr>
          <w14:ligatures w14:val="none"/>
        </w:rPr>
      </w:pPr>
    </w:p>
    <w:p w:rsidR="00300EE0" w:rsidRDefault="00300EE0" w:rsidP="00300EE0">
      <w:pPr>
        <w:widowControl w:val="0"/>
        <w:rPr>
          <w14:ligatures w14:val="none"/>
        </w:rPr>
      </w:pPr>
    </w:p>
    <w:p w:rsidR="00300EE0" w:rsidRPr="00300EE0" w:rsidRDefault="00300EE0" w:rsidP="00300EE0">
      <w:pPr>
        <w:widowControl w:val="0"/>
        <w:rPr>
          <w14:ligatures w14:val="none"/>
        </w:rPr>
      </w:pPr>
      <w:r w:rsidRPr="00300EE0">
        <w:rPr>
          <w14:ligatures w14:val="none"/>
        </w:rPr>
        <w:t> </w:t>
      </w:r>
      <w:bookmarkStart w:id="0" w:name="_GoBack"/>
      <w:bookmarkEnd w:id="0"/>
    </w:p>
    <w:p w:rsidR="00300EE0" w:rsidRDefault="00300EE0" w:rsidP="00300EE0">
      <w:pPr>
        <w:widowControl w:val="0"/>
        <w:spacing w:after="120"/>
        <w:jc w:val="right"/>
        <w:rPr>
          <w:rFonts w:ascii="Arial" w:hAnsi="Arial" w:cs="Arial"/>
          <w:color w:val="auto"/>
          <w:sz w:val="24"/>
          <w:szCs w:val="24"/>
          <w14:ligatures w14:val="none"/>
        </w:rPr>
        <w:sectPr w:rsidR="00300EE0" w:rsidSect="00583A6D">
          <w:headerReference w:type="default" r:id="rId7"/>
          <w:pgSz w:w="12240" w:h="15840"/>
          <w:pgMar w:top="810" w:right="1440" w:bottom="360" w:left="1170" w:header="720" w:footer="720" w:gutter="0"/>
          <w:cols w:space="720"/>
          <w:docGrid w:linePitch="360"/>
        </w:sectPr>
      </w:pPr>
    </w:p>
    <w:p w:rsidR="00300EE0" w:rsidRP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lastRenderedPageBreak/>
        <w:t xml:space="preserve">Ambient Engineering, Inc. was retained by the RPP Corporation to conduct a Phase I Environmental Site </w:t>
      </w:r>
      <w:proofErr w:type="gramStart"/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t>Assessment  (</w:t>
      </w:r>
      <w:proofErr w:type="gramEnd"/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t>ESA) at its rubber manufacturing facility in Lawrence, Massachusetts.  The facility is located within an industrial park.</w:t>
      </w:r>
    </w:p>
    <w:p w:rsid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t> </w:t>
      </w:r>
    </w:p>
    <w:p w:rsid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t xml:space="preserve">As part of Phase I activities, Ambient conducted an inspection of its facility to gain an understanding of its operations, include use, storage and disposal of oil and/or hazardous materials (OHM). </w:t>
      </w:r>
    </w:p>
    <w:p w:rsid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t xml:space="preserve"> </w:t>
      </w:r>
    </w:p>
    <w:p w:rsid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>
        <w:rPr>
          <w:rFonts w:ascii="Arial" w:hAnsi="Arial" w:cs="Arial"/>
          <w:noProof/>
          <w:color w:val="auto"/>
          <w:sz w:val="24"/>
          <w:szCs w:val="24"/>
          <w14:ligatures w14:val="none"/>
          <w14:cntxtAlts w14:val="0"/>
        </w:rPr>
        <w:drawing>
          <wp:inline distT="0" distB="0" distL="0" distR="0" wp14:anchorId="4BC682A7" wp14:editId="198F1A6F">
            <wp:extent cx="2457450" cy="184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300EE0" w:rsidRP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>
        <w:rPr>
          <w:rFonts w:ascii="Arial" w:hAnsi="Arial" w:cs="Arial"/>
          <w:color w:val="auto"/>
          <w:sz w:val="24"/>
          <w:szCs w:val="24"/>
          <w14:ligatures w14:val="none"/>
        </w:rPr>
        <w:lastRenderedPageBreak/>
        <w:t>A</w:t>
      </w:r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t>mbient identified multiple environmental concerns and Recognized Environmental Conditions (RECs) associated with operations.    Findings included areas of potential surficial releases of OHM, along with improper closure of a former underground storage tank (UST) and issues regarding housekeeping of OHM.</w:t>
      </w:r>
    </w:p>
    <w:p w:rsidR="00300EE0" w:rsidRP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t> </w:t>
      </w:r>
    </w:p>
    <w:p w:rsid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t>Based on the RECs, Ambient recommended additional Phase II subsurface investigations.</w:t>
      </w:r>
    </w:p>
    <w:p w:rsidR="00300EE0" w:rsidRP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300EE0" w:rsidRPr="00300EE0" w:rsidRDefault="00300EE0" w:rsidP="00300EE0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00EE0">
        <w:rPr>
          <w:rFonts w:ascii="Arial" w:hAnsi="Arial" w:cs="Arial"/>
          <w:color w:val="auto"/>
          <w:sz w:val="24"/>
          <w:szCs w:val="24"/>
          <w14:ligatures w14:val="none"/>
        </w:rPr>
        <w:t> </w:t>
      </w:r>
    </w:p>
    <w:p w:rsidR="00300EE0" w:rsidRDefault="00300EE0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  <w:sectPr w:rsidR="00300EE0" w:rsidSect="00300EE0">
          <w:type w:val="continuous"/>
          <w:pgSz w:w="12240" w:h="15840"/>
          <w:pgMar w:top="810" w:right="1440" w:bottom="360" w:left="1170" w:header="720" w:footer="720" w:gutter="0"/>
          <w:cols w:num="2" w:space="720"/>
          <w:docGrid w:linePitch="360"/>
        </w:sectPr>
      </w:pPr>
      <w:r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  <w:drawing>
          <wp:inline distT="0" distB="0" distL="0" distR="0" wp14:anchorId="5A78ED1C">
            <wp:extent cx="2456815" cy="184721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EE0" w:rsidRDefault="00300EE0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F7C5F" w:rsidRDefault="00EF7C5F" w:rsidP="00300EE0">
      <w:pPr>
        <w:widowControl w:val="0"/>
        <w:spacing w:after="120"/>
        <w:jc w:val="center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300EE0" w:rsidRDefault="00300EE0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300EE0" w:rsidRDefault="00300EE0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212137" w:rsidRDefault="00212137" w:rsidP="0021213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212137"/>
    <w:p w:rsidR="00583A6D" w:rsidRDefault="00583A6D" w:rsidP="00212137"/>
    <w:sectPr w:rsidR="00583A6D" w:rsidSect="00300EE0">
      <w:type w:val="continuous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94E" w:rsidRDefault="00C8194E" w:rsidP="00747474">
      <w:r>
        <w:separator/>
      </w:r>
    </w:p>
  </w:endnote>
  <w:endnote w:type="continuationSeparator" w:id="0">
    <w:p w:rsidR="00C8194E" w:rsidRDefault="00C8194E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94E" w:rsidRDefault="00C8194E" w:rsidP="00747474">
      <w:r>
        <w:separator/>
      </w:r>
    </w:p>
  </w:footnote>
  <w:footnote w:type="continuationSeparator" w:id="0">
    <w:p w:rsidR="00C8194E" w:rsidRDefault="00C8194E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212137">
    <w:pPr>
      <w:ind w:left="360" w:right="-495"/>
      <w:jc w:val="center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26B176D" wp14:editId="216E84AB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 w:rsidR="00441E16">
      <w:rPr>
        <w:rFonts w:ascii="QuickType" w:hAnsi="QuickType" w:cs="Arial"/>
        <w:b/>
        <w:i/>
        <w:sz w:val="44"/>
        <w:szCs w:val="44"/>
      </w:rPr>
      <w:t>SITE ASSESSMENT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107844"/>
    <w:rsid w:val="00161E21"/>
    <w:rsid w:val="001B343E"/>
    <w:rsid w:val="00212137"/>
    <w:rsid w:val="002F2E08"/>
    <w:rsid w:val="00300EE0"/>
    <w:rsid w:val="003D1F7A"/>
    <w:rsid w:val="004346B2"/>
    <w:rsid w:val="00441E16"/>
    <w:rsid w:val="00581E27"/>
    <w:rsid w:val="00583A6D"/>
    <w:rsid w:val="005958A8"/>
    <w:rsid w:val="005A40E0"/>
    <w:rsid w:val="005B581C"/>
    <w:rsid w:val="00660FC1"/>
    <w:rsid w:val="00747474"/>
    <w:rsid w:val="00A12B22"/>
    <w:rsid w:val="00AA50BD"/>
    <w:rsid w:val="00C05DA0"/>
    <w:rsid w:val="00C67120"/>
    <w:rsid w:val="00C8194E"/>
    <w:rsid w:val="00D6204C"/>
    <w:rsid w:val="00D6522F"/>
    <w:rsid w:val="00DC750E"/>
    <w:rsid w:val="00E72BBF"/>
    <w:rsid w:val="00E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2014-03-25T21:55:00Z</dcterms:created>
  <dcterms:modified xsi:type="dcterms:W3CDTF">2014-03-25T21:55:00Z</dcterms:modified>
</cp:coreProperties>
</file>