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048" w:rsidRDefault="00D57048" w:rsidP="00D57048">
      <w:pPr>
        <w:widowControl w:val="0"/>
        <w:spacing w:after="120"/>
        <w:rPr>
          <w:rFonts w:ascii="Tahoma" w:hAnsi="Tahoma" w:cs="Tahoma"/>
          <w:color w:val="000080"/>
          <w:sz w:val="28"/>
          <w:szCs w:val="28"/>
          <w14:ligatures w14:val="none"/>
        </w:rPr>
      </w:pPr>
      <w:r>
        <w:rPr>
          <w:rFonts w:ascii="Tahoma" w:hAnsi="Tahoma" w:cs="Tahoma"/>
          <w:color w:val="000080"/>
          <w:sz w:val="28"/>
          <w:szCs w:val="28"/>
          <w14:ligatures w14:val="none"/>
        </w:rPr>
        <w:t>Brownfield Redevelopment</w:t>
      </w:r>
      <w:r>
        <w:rPr>
          <w:sz w:val="24"/>
          <w:szCs w:val="24"/>
          <w14:ligatures w14:val="none"/>
        </w:rPr>
        <w:t xml:space="preserve"> </w:t>
      </w:r>
    </w:p>
    <w:p w:rsidR="00D57048" w:rsidRDefault="00D57048" w:rsidP="00D57048">
      <w:pPr>
        <w:widowControl w:val="0"/>
        <w:spacing w:before="100" w:after="120"/>
        <w:rPr>
          <w:rFonts w:ascii="Tahoma" w:hAnsi="Tahoma" w:cs="Tahoma"/>
          <w:color w:val="000080"/>
          <w:sz w:val="28"/>
          <w:szCs w:val="28"/>
          <w14:ligatures w14:val="none"/>
        </w:rPr>
      </w:pPr>
      <w:r>
        <w:rPr>
          <w:rFonts w:ascii="Tahoma" w:hAnsi="Tahoma" w:cs="Tahoma"/>
          <w:color w:val="000080"/>
          <w:sz w:val="28"/>
          <w:szCs w:val="28"/>
          <w14:ligatures w14:val="none"/>
        </w:rPr>
        <w:t>Lowell, Massachusetts</w:t>
      </w:r>
      <w:r>
        <w:rPr>
          <w:sz w:val="24"/>
          <w:szCs w:val="24"/>
          <w14:ligatures w14:val="none"/>
        </w:rPr>
        <w:t xml:space="preserve"> </w:t>
      </w:r>
    </w:p>
    <w:p w:rsidR="00D57048" w:rsidRDefault="00D57048" w:rsidP="00D57048">
      <w:pPr>
        <w:widowControl w:val="0"/>
        <w:rPr>
          <w14:ligatures w14:val="none"/>
        </w:rPr>
      </w:pPr>
      <w:r>
        <w:rPr>
          <w14:ligatures w14:val="none"/>
        </w:rPr>
        <w:t> </w:t>
      </w:r>
    </w:p>
    <w:p w:rsidR="002F2E08" w:rsidRDefault="002F2E08" w:rsidP="00D57048">
      <w:pPr>
        <w:rPr>
          <w:rFonts w:ascii="Arial" w:hAnsi="Arial" w:cs="Arial"/>
          <w:sz w:val="24"/>
          <w:szCs w:val="24"/>
        </w:rPr>
      </w:pPr>
    </w:p>
    <w:p w:rsidR="00D57048" w:rsidRDefault="00D57048" w:rsidP="00D57048">
      <w:pPr>
        <w:rPr>
          <w:rFonts w:ascii="Arial" w:hAnsi="Arial" w:cs="Arial"/>
          <w:sz w:val="24"/>
          <w:szCs w:val="24"/>
        </w:rPr>
      </w:pPr>
    </w:p>
    <w:p w:rsidR="00D57048" w:rsidRPr="00D57048" w:rsidRDefault="00D57048" w:rsidP="00D57048">
      <w:pPr>
        <w:rPr>
          <w:rFonts w:ascii="Arial" w:hAnsi="Arial" w:cs="Arial"/>
          <w:sz w:val="24"/>
          <w:szCs w:val="24"/>
        </w:rPr>
      </w:pPr>
      <w:r>
        <w:rPr>
          <w:rFonts w:ascii="Arial" w:hAnsi="Arial" w:cs="Arial"/>
          <w:sz w:val="24"/>
          <w:szCs w:val="24"/>
        </w:rPr>
        <w:t>A</w:t>
      </w:r>
      <w:r w:rsidRPr="00D57048">
        <w:rPr>
          <w:rFonts w:ascii="Arial" w:hAnsi="Arial" w:cs="Arial"/>
          <w:sz w:val="24"/>
          <w:szCs w:val="24"/>
        </w:rPr>
        <w:t>mbient Engineering was retained by a local property owner to conduct an environmental assessment of a former warehouse/light manufacturing facility located on the Concord River in Lowell, Massachusetts.  The environmental assessment was conducted to identify Recognized Environmental Conditions as defined in the ASTM Standard Practice for Environmental Site Assessments: Phase I Environmental Site Assessment Process, Designation E 1527-00 (the ASTM Standard).</w:t>
      </w:r>
    </w:p>
    <w:p w:rsidR="00D57048" w:rsidRPr="00D57048" w:rsidRDefault="00D57048" w:rsidP="00D57048">
      <w:pPr>
        <w:rPr>
          <w:rFonts w:ascii="Arial" w:hAnsi="Arial" w:cs="Arial"/>
          <w:sz w:val="24"/>
          <w:szCs w:val="24"/>
        </w:rPr>
      </w:pPr>
      <w:r w:rsidRPr="00D57048">
        <w:rPr>
          <w:rFonts w:ascii="Arial" w:hAnsi="Arial" w:cs="Arial"/>
          <w:sz w:val="24"/>
          <w:szCs w:val="24"/>
        </w:rPr>
        <w:t> </w:t>
      </w:r>
    </w:p>
    <w:p w:rsidR="00D57048" w:rsidRPr="00D57048" w:rsidRDefault="00D57048" w:rsidP="00D57048">
      <w:pPr>
        <w:rPr>
          <w:rFonts w:ascii="Arial" w:hAnsi="Arial" w:cs="Arial"/>
          <w:sz w:val="24"/>
          <w:szCs w:val="24"/>
        </w:rPr>
      </w:pPr>
      <w:r w:rsidRPr="00D57048">
        <w:rPr>
          <w:rFonts w:ascii="Arial" w:hAnsi="Arial" w:cs="Arial"/>
          <w:sz w:val="24"/>
          <w:szCs w:val="24"/>
        </w:rPr>
        <w:t> </w:t>
      </w:r>
    </w:p>
    <w:p w:rsidR="00D57048" w:rsidRPr="00D57048" w:rsidRDefault="00D57048" w:rsidP="00D57048">
      <w:pPr>
        <w:rPr>
          <w:rFonts w:ascii="Arial" w:hAnsi="Arial" w:cs="Arial"/>
          <w:sz w:val="24"/>
          <w:szCs w:val="24"/>
        </w:rPr>
      </w:pPr>
      <w:r w:rsidRPr="00D57048">
        <w:rPr>
          <w:rFonts w:ascii="Arial" w:hAnsi="Arial" w:cs="Arial"/>
          <w:sz w:val="24"/>
          <w:szCs w:val="24"/>
        </w:rPr>
        <w:t> </w:t>
      </w:r>
    </w:p>
    <w:p w:rsidR="00D57048" w:rsidRPr="00D57048" w:rsidRDefault="00D57048" w:rsidP="00D57048">
      <w:pPr>
        <w:rPr>
          <w:rFonts w:ascii="Arial" w:hAnsi="Arial" w:cs="Arial"/>
          <w:sz w:val="24"/>
          <w:szCs w:val="24"/>
        </w:rPr>
      </w:pPr>
      <w:r w:rsidRPr="00D57048">
        <w:rPr>
          <w:rFonts w:ascii="Arial" w:hAnsi="Arial" w:cs="Arial"/>
          <w:sz w:val="24"/>
          <w:szCs w:val="24"/>
        </w:rPr>
        <w:t> </w:t>
      </w:r>
      <w:r>
        <w:rPr>
          <w:rFonts w:ascii="Arial" w:hAnsi="Arial" w:cs="Arial"/>
          <w:noProof/>
          <w:sz w:val="24"/>
          <w:szCs w:val="24"/>
          <w14:ligatures w14:val="none"/>
          <w14:cntxtAlts w14:val="0"/>
        </w:rPr>
        <w:drawing>
          <wp:inline distT="0" distB="0" distL="0" distR="0" wp14:anchorId="7DD1A0C8">
            <wp:extent cx="2761615" cy="1847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1615" cy="1847850"/>
                    </a:xfrm>
                    <a:prstGeom prst="rect">
                      <a:avLst/>
                    </a:prstGeom>
                    <a:noFill/>
                  </pic:spPr>
                </pic:pic>
              </a:graphicData>
            </a:graphic>
          </wp:inline>
        </w:drawing>
      </w:r>
    </w:p>
    <w:p w:rsidR="00D57048" w:rsidRPr="00D57048" w:rsidRDefault="00D57048" w:rsidP="00D57048">
      <w:pPr>
        <w:rPr>
          <w:rFonts w:ascii="Arial" w:hAnsi="Arial" w:cs="Arial"/>
          <w:sz w:val="24"/>
          <w:szCs w:val="24"/>
        </w:rPr>
      </w:pPr>
      <w:r w:rsidRPr="00D57048">
        <w:rPr>
          <w:rFonts w:ascii="Arial" w:hAnsi="Arial" w:cs="Arial"/>
          <w:sz w:val="24"/>
          <w:szCs w:val="24"/>
        </w:rPr>
        <w:t> </w:t>
      </w:r>
    </w:p>
    <w:p w:rsidR="00D57048" w:rsidRPr="00D57048" w:rsidRDefault="00D57048" w:rsidP="00D57048">
      <w:pPr>
        <w:rPr>
          <w:rFonts w:ascii="Arial" w:hAnsi="Arial" w:cs="Arial"/>
          <w:sz w:val="24"/>
          <w:szCs w:val="24"/>
        </w:rPr>
      </w:pPr>
      <w:r w:rsidRPr="00D57048">
        <w:rPr>
          <w:rFonts w:ascii="Arial" w:hAnsi="Arial" w:cs="Arial"/>
          <w:sz w:val="24"/>
          <w:szCs w:val="24"/>
        </w:rPr>
        <w:t> </w:t>
      </w:r>
    </w:p>
    <w:p w:rsidR="00D57048" w:rsidRPr="00D57048" w:rsidRDefault="00D57048" w:rsidP="00D57048">
      <w:pPr>
        <w:rPr>
          <w:rFonts w:ascii="Arial" w:hAnsi="Arial" w:cs="Arial"/>
          <w:sz w:val="24"/>
          <w:szCs w:val="24"/>
        </w:rPr>
      </w:pPr>
      <w:r w:rsidRPr="00D57048">
        <w:rPr>
          <w:rFonts w:ascii="Arial" w:hAnsi="Arial" w:cs="Arial"/>
          <w:sz w:val="24"/>
          <w:szCs w:val="24"/>
        </w:rPr>
        <w:t> </w:t>
      </w:r>
    </w:p>
    <w:p w:rsidR="00D57048" w:rsidRDefault="00D57048" w:rsidP="00D57048">
      <w:pPr>
        <w:rPr>
          <w:rFonts w:ascii="Arial" w:hAnsi="Arial" w:cs="Arial"/>
          <w:sz w:val="24"/>
          <w:szCs w:val="24"/>
        </w:rPr>
      </w:pPr>
      <w:r w:rsidRPr="00D57048">
        <w:rPr>
          <w:rFonts w:ascii="Arial" w:hAnsi="Arial" w:cs="Arial"/>
          <w:sz w:val="24"/>
          <w:szCs w:val="24"/>
        </w:rPr>
        <w:t xml:space="preserve">The 15,000 square foot property </w:t>
      </w:r>
      <w:r>
        <w:rPr>
          <w:rFonts w:ascii="Arial" w:hAnsi="Arial" w:cs="Arial"/>
          <w:sz w:val="24"/>
          <w:szCs w:val="24"/>
        </w:rPr>
        <w:t>was</w:t>
      </w:r>
      <w:r w:rsidRPr="00D57048">
        <w:rPr>
          <w:rFonts w:ascii="Arial" w:hAnsi="Arial" w:cs="Arial"/>
          <w:sz w:val="24"/>
          <w:szCs w:val="24"/>
        </w:rPr>
        <w:t xml:space="preserve"> occupied by an abandoned two-story brick warehouse and light manufacturing building, circa 1920,  and associated asphalt-paved parking lot owned by Canalside Realty Trust.  </w:t>
      </w:r>
    </w:p>
    <w:p w:rsidR="00D57048" w:rsidRDefault="00D57048" w:rsidP="00D57048">
      <w:pPr>
        <w:rPr>
          <w:rFonts w:ascii="Arial" w:hAnsi="Arial" w:cs="Arial"/>
          <w:sz w:val="24"/>
          <w:szCs w:val="24"/>
        </w:rPr>
      </w:pPr>
    </w:p>
    <w:p w:rsidR="00D57048" w:rsidRDefault="00D57048" w:rsidP="00D57048">
      <w:pPr>
        <w:rPr>
          <w:rFonts w:ascii="Arial" w:hAnsi="Arial" w:cs="Arial"/>
          <w:sz w:val="24"/>
          <w:szCs w:val="24"/>
        </w:rPr>
      </w:pPr>
      <w:r w:rsidRPr="00D57048">
        <w:rPr>
          <w:rFonts w:ascii="Arial" w:hAnsi="Arial" w:cs="Arial"/>
          <w:sz w:val="24"/>
          <w:szCs w:val="24"/>
        </w:rPr>
        <w:t>Ambient conducted a visual inspection of surficial conditions in interior and exterior portions of the property, interviewed the</w:t>
      </w:r>
    </w:p>
    <w:p w:rsidR="00D57048" w:rsidRDefault="00D57048" w:rsidP="00D57048">
      <w:pPr>
        <w:rPr>
          <w:rFonts w:ascii="Arial" w:hAnsi="Arial" w:cs="Arial"/>
          <w:sz w:val="24"/>
          <w:szCs w:val="24"/>
        </w:rPr>
      </w:pPr>
    </w:p>
    <w:p w:rsidR="00D57048" w:rsidRDefault="00D57048" w:rsidP="00D57048">
      <w:pPr>
        <w:rPr>
          <w:rFonts w:ascii="Arial" w:hAnsi="Arial" w:cs="Arial"/>
          <w:sz w:val="24"/>
          <w:szCs w:val="24"/>
        </w:rPr>
      </w:pPr>
    </w:p>
    <w:p w:rsidR="00D57048" w:rsidRDefault="00D57048" w:rsidP="00D57048">
      <w:pPr>
        <w:rPr>
          <w:rFonts w:ascii="Arial" w:hAnsi="Arial" w:cs="Arial"/>
          <w:sz w:val="24"/>
          <w:szCs w:val="24"/>
        </w:rPr>
      </w:pPr>
    </w:p>
    <w:p w:rsidR="00D57048" w:rsidRDefault="00D57048" w:rsidP="00D57048">
      <w:pPr>
        <w:rPr>
          <w:rFonts w:ascii="Arial" w:hAnsi="Arial" w:cs="Arial"/>
          <w:sz w:val="24"/>
          <w:szCs w:val="24"/>
        </w:rPr>
      </w:pPr>
    </w:p>
    <w:p w:rsidR="00D57048" w:rsidRPr="00D57048" w:rsidRDefault="00D57048" w:rsidP="00D57048">
      <w:pPr>
        <w:rPr>
          <w:rFonts w:ascii="Arial" w:hAnsi="Arial" w:cs="Arial"/>
          <w:sz w:val="24"/>
          <w:szCs w:val="24"/>
        </w:rPr>
      </w:pPr>
      <w:r w:rsidRPr="00D57048">
        <w:rPr>
          <w:rFonts w:ascii="Arial" w:hAnsi="Arial" w:cs="Arial"/>
          <w:sz w:val="24"/>
          <w:szCs w:val="24"/>
        </w:rPr>
        <w:t xml:space="preserve">property owner and local municipal officials, reviewed readily-available local records, reviewed previous environmental reports.  Based on the results of this investigation, Ambient identified several Recognized Environmental Concerns including a floor drain, historic records of a 1,000-gallon gasoline underground storage tank (UST), an a hydraulically powered, truck lift ramp, several unlabeled 5-gallon plastic containers full of used compressor oil, suspect asbestos containing building materials (ACBM), and fluorescent lamps and ballasts.  Ambient worked closely with the property owner to determine that discharge point of the floor drain was the Concord River and not on-site, and to remove the used compressor oil and contaminated media located within the truck lift. </w:t>
      </w:r>
    </w:p>
    <w:p w:rsidR="00D57048" w:rsidRPr="00D57048" w:rsidRDefault="00D57048" w:rsidP="00D57048">
      <w:pPr>
        <w:rPr>
          <w:rFonts w:ascii="Arial" w:hAnsi="Arial" w:cs="Arial"/>
          <w:sz w:val="24"/>
          <w:szCs w:val="24"/>
        </w:rPr>
      </w:pPr>
      <w:r w:rsidRPr="00D57048">
        <w:rPr>
          <w:rFonts w:ascii="Arial" w:hAnsi="Arial" w:cs="Arial"/>
          <w:sz w:val="24"/>
          <w:szCs w:val="24"/>
        </w:rPr>
        <w:t> </w:t>
      </w:r>
    </w:p>
    <w:p w:rsidR="00D57048" w:rsidRDefault="00D57048" w:rsidP="00D57048">
      <w:pPr>
        <w:rPr>
          <w:rFonts w:ascii="Arial" w:hAnsi="Arial" w:cs="Arial"/>
          <w:sz w:val="24"/>
          <w:szCs w:val="24"/>
        </w:rPr>
      </w:pPr>
      <w:r w:rsidRPr="00D57048">
        <w:rPr>
          <w:rFonts w:ascii="Arial" w:hAnsi="Arial" w:cs="Arial"/>
          <w:sz w:val="24"/>
          <w:szCs w:val="24"/>
        </w:rPr>
        <w:t> </w:t>
      </w:r>
    </w:p>
    <w:p w:rsidR="00D57048" w:rsidRDefault="00D57048" w:rsidP="00D57048">
      <w:pPr>
        <w:rPr>
          <w:rFonts w:ascii="Arial" w:hAnsi="Arial" w:cs="Arial"/>
          <w:sz w:val="24"/>
          <w:szCs w:val="24"/>
        </w:rPr>
      </w:pPr>
      <w:r>
        <w:rPr>
          <w:rFonts w:ascii="Arial" w:hAnsi="Arial" w:cs="Arial"/>
          <w:noProof/>
          <w:sz w:val="24"/>
          <w:szCs w:val="24"/>
          <w14:ligatures w14:val="none"/>
          <w14:cntxtAlts w14:val="0"/>
        </w:rPr>
        <w:drawing>
          <wp:inline distT="0" distB="0" distL="0" distR="0" wp14:anchorId="6F9A1635">
            <wp:extent cx="2733040" cy="1914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3040" cy="1914525"/>
                    </a:xfrm>
                    <a:prstGeom prst="rect">
                      <a:avLst/>
                    </a:prstGeom>
                    <a:noFill/>
                  </pic:spPr>
                </pic:pic>
              </a:graphicData>
            </a:graphic>
          </wp:inline>
        </w:drawing>
      </w:r>
    </w:p>
    <w:p w:rsidR="00D57048" w:rsidRDefault="00D57048" w:rsidP="00D57048">
      <w:pPr>
        <w:rPr>
          <w:rFonts w:ascii="Arial" w:hAnsi="Arial" w:cs="Arial"/>
          <w:sz w:val="24"/>
          <w:szCs w:val="24"/>
        </w:rPr>
      </w:pPr>
    </w:p>
    <w:p w:rsidR="00D57048" w:rsidRPr="00D57048" w:rsidRDefault="00D57048" w:rsidP="00D57048">
      <w:pPr>
        <w:rPr>
          <w:rFonts w:ascii="Arial" w:hAnsi="Arial" w:cs="Arial"/>
          <w:sz w:val="24"/>
          <w:szCs w:val="24"/>
        </w:rPr>
      </w:pPr>
      <w:r w:rsidRPr="00D57048">
        <w:rPr>
          <w:rFonts w:ascii="Arial" w:hAnsi="Arial" w:cs="Arial"/>
          <w:sz w:val="24"/>
          <w:szCs w:val="24"/>
        </w:rPr>
        <w:t>As a result of these response actions, Canalside</w:t>
      </w:r>
      <w:bookmarkStart w:id="0" w:name="_GoBack"/>
      <w:bookmarkEnd w:id="0"/>
      <w:r w:rsidRPr="00D57048">
        <w:rPr>
          <w:rFonts w:ascii="Arial" w:hAnsi="Arial" w:cs="Arial"/>
          <w:sz w:val="24"/>
          <w:szCs w:val="24"/>
        </w:rPr>
        <w:t xml:space="preserve"> Realty Trust was able to obtain financing to develop the property as first-class residential condominiums, with a roof-top garden overlooking the Concord River.  State of the art stormwater management techniques were designed for the property to maximize the value of this redevelopment site.</w:t>
      </w:r>
    </w:p>
    <w:p w:rsidR="00D57048" w:rsidRPr="00D57048" w:rsidRDefault="00D57048" w:rsidP="00D57048">
      <w:pPr>
        <w:rPr>
          <w:rFonts w:ascii="Arial" w:hAnsi="Arial" w:cs="Arial"/>
          <w:sz w:val="24"/>
          <w:szCs w:val="24"/>
        </w:rPr>
      </w:pPr>
      <w:r w:rsidRPr="00D57048">
        <w:rPr>
          <w:rFonts w:ascii="Arial" w:hAnsi="Arial" w:cs="Arial"/>
          <w:sz w:val="24"/>
          <w:szCs w:val="24"/>
        </w:rPr>
        <w:t> </w:t>
      </w:r>
    </w:p>
    <w:p w:rsidR="00D57048" w:rsidRPr="00D57048" w:rsidRDefault="00D57048" w:rsidP="00D57048">
      <w:pPr>
        <w:rPr>
          <w:rFonts w:ascii="Arial" w:hAnsi="Arial" w:cs="Arial"/>
          <w:sz w:val="24"/>
          <w:szCs w:val="24"/>
        </w:rPr>
      </w:pPr>
    </w:p>
    <w:p w:rsidR="00D57048" w:rsidRPr="00D57048" w:rsidRDefault="00D57048" w:rsidP="00D57048">
      <w:pPr>
        <w:rPr>
          <w:rFonts w:ascii="Arial" w:hAnsi="Arial" w:cs="Arial"/>
          <w:sz w:val="24"/>
          <w:szCs w:val="24"/>
        </w:rPr>
      </w:pPr>
      <w:r w:rsidRPr="00D57048">
        <w:rPr>
          <w:rFonts w:ascii="Arial" w:hAnsi="Arial" w:cs="Arial"/>
          <w:sz w:val="24"/>
          <w:szCs w:val="24"/>
        </w:rPr>
        <w:t> </w:t>
      </w:r>
    </w:p>
    <w:p w:rsidR="00D57048" w:rsidRPr="00D57048" w:rsidRDefault="00D57048" w:rsidP="00D57048">
      <w:pPr>
        <w:rPr>
          <w:rFonts w:ascii="Arial" w:hAnsi="Arial" w:cs="Arial"/>
          <w:sz w:val="24"/>
          <w:szCs w:val="24"/>
        </w:rPr>
      </w:pPr>
    </w:p>
    <w:sectPr w:rsidR="00D57048" w:rsidRPr="00D57048" w:rsidSect="00107844">
      <w:headerReference w:type="default" r:id="rId9"/>
      <w:pgSz w:w="12240" w:h="15840"/>
      <w:pgMar w:top="810" w:right="1440" w:bottom="360" w:left="117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444" w:rsidRDefault="00220444" w:rsidP="00747474">
      <w:r>
        <w:separator/>
      </w:r>
    </w:p>
  </w:endnote>
  <w:endnote w:type="continuationSeparator" w:id="0">
    <w:p w:rsidR="00220444" w:rsidRDefault="00220444" w:rsidP="00747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QuickType">
    <w:panose1 w:val="020B0603020004020203"/>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444" w:rsidRDefault="00220444" w:rsidP="00747474">
      <w:r>
        <w:separator/>
      </w:r>
    </w:p>
  </w:footnote>
  <w:footnote w:type="continuationSeparator" w:id="0">
    <w:p w:rsidR="00220444" w:rsidRDefault="00220444" w:rsidP="007474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E08" w:rsidRDefault="00747474" w:rsidP="002F2E08">
    <w:pPr>
      <w:ind w:left="360" w:right="-495"/>
      <w:jc w:val="center"/>
      <w:rPr>
        <w:rFonts w:ascii="QuickType" w:hAnsi="QuickType" w:cs="Arial"/>
        <w:b/>
        <w:i/>
        <w:sz w:val="44"/>
        <w:szCs w:val="44"/>
      </w:rPr>
    </w:pPr>
    <w:r>
      <w:rPr>
        <w:rFonts w:ascii="Arial" w:hAnsi="Arial" w:cs="Arial"/>
        <w:noProof/>
        <w:sz w:val="28"/>
        <w:szCs w:val="28"/>
      </w:rPr>
      <w:drawing>
        <wp:inline distT="0" distB="0" distL="0" distR="0" wp14:anchorId="62DDAB77" wp14:editId="6D07F0C2">
          <wp:extent cx="2410691" cy="5949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1851" cy="595232"/>
                  </a:xfrm>
                  <a:prstGeom prst="rect">
                    <a:avLst/>
                  </a:prstGeom>
                </pic:spPr>
              </pic:pic>
            </a:graphicData>
          </a:graphic>
        </wp:inline>
      </w:drawing>
    </w:r>
    <w:r>
      <w:t xml:space="preserve">                           </w:t>
    </w:r>
    <w:r w:rsidR="00D57048">
      <w:rPr>
        <w:rFonts w:ascii="QuickType" w:hAnsi="QuickType" w:cs="Arial"/>
        <w:b/>
        <w:i/>
        <w:sz w:val="44"/>
        <w:szCs w:val="44"/>
      </w:rPr>
      <w:t>HAZARDOUS WASTE</w:t>
    </w:r>
  </w:p>
  <w:p w:rsidR="00747474" w:rsidRDefault="002F2E08" w:rsidP="002F2E08">
    <w:pPr>
      <w:ind w:left="360" w:right="-495"/>
      <w:jc w:val="center"/>
    </w:pPr>
    <w:r>
      <w:rPr>
        <w:rFonts w:ascii="QuickType" w:hAnsi="QuickType" w:cs="Arial"/>
        <w:b/>
        <w:i/>
        <w:sz w:val="44"/>
        <w:szCs w:val="44"/>
      </w:rPr>
      <w:t xml:space="preserve">                         </w:t>
    </w:r>
    <w:r w:rsidR="00747474">
      <w:rPr>
        <w:rFonts w:ascii="QuickType" w:hAnsi="QuickType" w:cs="Arial"/>
        <w:b/>
        <w:i/>
        <w:sz w:val="44"/>
        <w:szCs w:val="44"/>
      </w:rPr>
      <w:t xml:space="preserve">          </w:t>
    </w:r>
    <w:r>
      <w:rPr>
        <w:rFonts w:ascii="QuickType" w:hAnsi="QuickType" w:cs="Arial"/>
        <w:b/>
        <w:i/>
        <w:sz w:val="44"/>
        <w:szCs w:val="44"/>
      </w:rPr>
      <w:t xml:space="preserve">                CASE STUDY </w:t>
    </w:r>
    <w:r w:rsidR="00747474">
      <w:rPr>
        <w:rFonts w:ascii="QuickType" w:hAnsi="QuickType" w:cs="Arial"/>
        <w:b/>
        <w:i/>
        <w:sz w:val="44"/>
        <w:szCs w:val="44"/>
      </w:rPr>
      <w:t xml:space="preserve">                                                              </w:t>
    </w:r>
    <w:r w:rsidR="00747474">
      <w:rPr>
        <w:rFonts w:ascii="Lucida Sans" w:hAnsi="Lucida Sans" w:cs="Arial"/>
        <w:sz w:val="48"/>
        <w:szCs w:val="48"/>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04C"/>
    <w:rsid w:val="00107844"/>
    <w:rsid w:val="001B343E"/>
    <w:rsid w:val="001B3BB1"/>
    <w:rsid w:val="00220444"/>
    <w:rsid w:val="002F2E08"/>
    <w:rsid w:val="003D1F7A"/>
    <w:rsid w:val="005958A8"/>
    <w:rsid w:val="005A40E0"/>
    <w:rsid w:val="00660FC1"/>
    <w:rsid w:val="00747474"/>
    <w:rsid w:val="00AA50BD"/>
    <w:rsid w:val="00D57048"/>
    <w:rsid w:val="00D6204C"/>
    <w:rsid w:val="00D6522F"/>
    <w:rsid w:val="00DC750E"/>
    <w:rsid w:val="00E72B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048"/>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7474"/>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HeaderChar">
    <w:name w:val="Header Char"/>
    <w:basedOn w:val="DefaultParagraphFont"/>
    <w:link w:val="Header"/>
    <w:uiPriority w:val="99"/>
    <w:rsid w:val="00747474"/>
  </w:style>
  <w:style w:type="paragraph" w:styleId="Footer">
    <w:name w:val="footer"/>
    <w:basedOn w:val="Normal"/>
    <w:link w:val="FooterChar"/>
    <w:uiPriority w:val="99"/>
    <w:unhideWhenUsed/>
    <w:rsid w:val="00747474"/>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FooterChar">
    <w:name w:val="Footer Char"/>
    <w:basedOn w:val="DefaultParagraphFont"/>
    <w:link w:val="Footer"/>
    <w:uiPriority w:val="99"/>
    <w:rsid w:val="007474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048"/>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7474"/>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HeaderChar">
    <w:name w:val="Header Char"/>
    <w:basedOn w:val="DefaultParagraphFont"/>
    <w:link w:val="Header"/>
    <w:uiPriority w:val="99"/>
    <w:rsid w:val="00747474"/>
  </w:style>
  <w:style w:type="paragraph" w:styleId="Footer">
    <w:name w:val="footer"/>
    <w:basedOn w:val="Normal"/>
    <w:link w:val="FooterChar"/>
    <w:uiPriority w:val="99"/>
    <w:unhideWhenUsed/>
    <w:rsid w:val="00747474"/>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FooterChar">
    <w:name w:val="Footer Char"/>
    <w:basedOn w:val="DefaultParagraphFont"/>
    <w:link w:val="Footer"/>
    <w:uiPriority w:val="99"/>
    <w:rsid w:val="00747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640661">
      <w:bodyDiv w:val="1"/>
      <w:marLeft w:val="0"/>
      <w:marRight w:val="0"/>
      <w:marTop w:val="0"/>
      <w:marBottom w:val="0"/>
      <w:divBdr>
        <w:top w:val="none" w:sz="0" w:space="0" w:color="auto"/>
        <w:left w:val="none" w:sz="0" w:space="0" w:color="auto"/>
        <w:bottom w:val="none" w:sz="0" w:space="0" w:color="auto"/>
        <w:right w:val="none" w:sz="0" w:space="0" w:color="auto"/>
      </w:divBdr>
    </w:div>
    <w:div w:id="427777165">
      <w:bodyDiv w:val="1"/>
      <w:marLeft w:val="0"/>
      <w:marRight w:val="0"/>
      <w:marTop w:val="0"/>
      <w:marBottom w:val="0"/>
      <w:divBdr>
        <w:top w:val="none" w:sz="0" w:space="0" w:color="auto"/>
        <w:left w:val="none" w:sz="0" w:space="0" w:color="auto"/>
        <w:bottom w:val="none" w:sz="0" w:space="0" w:color="auto"/>
        <w:right w:val="none" w:sz="0" w:space="0" w:color="auto"/>
      </w:divBdr>
    </w:div>
    <w:div w:id="640156379">
      <w:bodyDiv w:val="1"/>
      <w:marLeft w:val="0"/>
      <w:marRight w:val="0"/>
      <w:marTop w:val="0"/>
      <w:marBottom w:val="0"/>
      <w:divBdr>
        <w:top w:val="none" w:sz="0" w:space="0" w:color="auto"/>
        <w:left w:val="none" w:sz="0" w:space="0" w:color="auto"/>
        <w:bottom w:val="none" w:sz="0" w:space="0" w:color="auto"/>
        <w:right w:val="none" w:sz="0" w:space="0" w:color="auto"/>
      </w:divBdr>
    </w:div>
    <w:div w:id="717977943">
      <w:bodyDiv w:val="1"/>
      <w:marLeft w:val="0"/>
      <w:marRight w:val="0"/>
      <w:marTop w:val="0"/>
      <w:marBottom w:val="0"/>
      <w:divBdr>
        <w:top w:val="none" w:sz="0" w:space="0" w:color="auto"/>
        <w:left w:val="none" w:sz="0" w:space="0" w:color="auto"/>
        <w:bottom w:val="none" w:sz="0" w:space="0" w:color="auto"/>
        <w:right w:val="none" w:sz="0" w:space="0" w:color="auto"/>
      </w:divBdr>
    </w:div>
    <w:div w:id="869494778">
      <w:bodyDiv w:val="1"/>
      <w:marLeft w:val="0"/>
      <w:marRight w:val="0"/>
      <w:marTop w:val="0"/>
      <w:marBottom w:val="0"/>
      <w:divBdr>
        <w:top w:val="none" w:sz="0" w:space="0" w:color="auto"/>
        <w:left w:val="none" w:sz="0" w:space="0" w:color="auto"/>
        <w:bottom w:val="none" w:sz="0" w:space="0" w:color="auto"/>
        <w:right w:val="none" w:sz="0" w:space="0" w:color="auto"/>
      </w:divBdr>
    </w:div>
    <w:div w:id="1536844669">
      <w:bodyDiv w:val="1"/>
      <w:marLeft w:val="0"/>
      <w:marRight w:val="0"/>
      <w:marTop w:val="0"/>
      <w:marBottom w:val="0"/>
      <w:divBdr>
        <w:top w:val="none" w:sz="0" w:space="0" w:color="auto"/>
        <w:left w:val="none" w:sz="0" w:space="0" w:color="auto"/>
        <w:bottom w:val="none" w:sz="0" w:space="0" w:color="auto"/>
        <w:right w:val="none" w:sz="0" w:space="0" w:color="auto"/>
      </w:divBdr>
    </w:div>
    <w:div w:id="1639385088">
      <w:bodyDiv w:val="1"/>
      <w:marLeft w:val="0"/>
      <w:marRight w:val="0"/>
      <w:marTop w:val="0"/>
      <w:marBottom w:val="0"/>
      <w:divBdr>
        <w:top w:val="none" w:sz="0" w:space="0" w:color="auto"/>
        <w:left w:val="none" w:sz="0" w:space="0" w:color="auto"/>
        <w:bottom w:val="none" w:sz="0" w:space="0" w:color="auto"/>
        <w:right w:val="none" w:sz="0" w:space="0" w:color="auto"/>
      </w:divBdr>
    </w:div>
    <w:div w:id="1749376700">
      <w:bodyDiv w:val="1"/>
      <w:marLeft w:val="0"/>
      <w:marRight w:val="0"/>
      <w:marTop w:val="0"/>
      <w:marBottom w:val="0"/>
      <w:divBdr>
        <w:top w:val="none" w:sz="0" w:space="0" w:color="auto"/>
        <w:left w:val="none" w:sz="0" w:space="0" w:color="auto"/>
        <w:bottom w:val="none" w:sz="0" w:space="0" w:color="auto"/>
        <w:right w:val="none" w:sz="0" w:space="0" w:color="auto"/>
      </w:divBdr>
    </w:div>
    <w:div w:id="1989552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300</Words>
  <Characters>1710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Ambient Team Member</dc:creator>
  <cp:lastModifiedBy>Ambient Team Member</cp:lastModifiedBy>
  <cp:revision>2</cp:revision>
  <dcterms:created xsi:type="dcterms:W3CDTF">2014-03-23T21:59:00Z</dcterms:created>
  <dcterms:modified xsi:type="dcterms:W3CDTF">2014-03-23T21:59:00Z</dcterms:modified>
</cp:coreProperties>
</file>